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B0B2F" w:rsidRDefault="002B0B2F">
      <w:pPr>
        <w:pBdr>
          <w:top w:val="nil"/>
          <w:left w:val="nil"/>
          <w:bottom w:val="nil"/>
          <w:right w:val="nil"/>
          <w:between w:val="nil"/>
        </w:pBdr>
        <w:jc w:val="center"/>
        <w:rPr>
          <w:color w:val="000000"/>
          <w:sz w:val="24"/>
          <w:szCs w:val="24"/>
        </w:rPr>
      </w:pPr>
    </w:p>
    <w:p w14:paraId="00000002" w14:textId="77777777" w:rsidR="002B0B2F" w:rsidRDefault="00E1713E">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Metodologías de investigación social. Introducción a los oficios, Manuel Canales, 2006, Capítulo Presentación, pp. 11-30</w:t>
      </w:r>
    </w:p>
    <w:p w14:paraId="00000003" w14:textId="77777777" w:rsidR="002B0B2F" w:rsidRDefault="002B0B2F">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p>
    <w:p w14:paraId="00000004" w14:textId="77777777" w:rsidR="002B0B2F" w:rsidRDefault="002B0B2F">
      <w:pPr>
        <w:spacing w:line="276" w:lineRule="auto"/>
        <w:jc w:val="both"/>
        <w:rPr>
          <w:rFonts w:ascii="Times New Roman" w:eastAsia="Times New Roman" w:hAnsi="Times New Roman" w:cs="Times New Roman"/>
          <w:b/>
          <w:sz w:val="24"/>
          <w:szCs w:val="24"/>
        </w:rPr>
      </w:pPr>
    </w:p>
    <w:p w14:paraId="00000005" w14:textId="77777777" w:rsidR="002B0B2F" w:rsidRDefault="00E1713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Nombre: </w:t>
      </w:r>
      <w:commentRangeStart w:id="0"/>
      <w:r>
        <w:rPr>
          <w:rFonts w:ascii="Times New Roman" w:eastAsia="Times New Roman" w:hAnsi="Times New Roman" w:cs="Times New Roman"/>
          <w:b/>
          <w:sz w:val="24"/>
          <w:szCs w:val="24"/>
        </w:rPr>
        <w:t>Amanda Solari Fierro</w:t>
      </w:r>
      <w:commentRangeEnd w:id="0"/>
      <w:r>
        <w:rPr>
          <w:rStyle w:val="Refdecomentario"/>
        </w:rPr>
        <w:commentReference w:id="0"/>
      </w:r>
    </w:p>
    <w:p w14:paraId="00000006" w14:textId="77777777" w:rsidR="002B0B2F" w:rsidRDefault="002B0B2F">
      <w:pPr>
        <w:spacing w:line="276" w:lineRule="auto"/>
        <w:jc w:val="both"/>
        <w:rPr>
          <w:rFonts w:ascii="Times New Roman" w:eastAsia="Times New Roman" w:hAnsi="Times New Roman" w:cs="Times New Roman"/>
          <w:b/>
          <w:sz w:val="24"/>
          <w:szCs w:val="24"/>
        </w:rPr>
      </w:pPr>
    </w:p>
    <w:p w14:paraId="00000007" w14:textId="77777777" w:rsidR="002B0B2F" w:rsidRDefault="00E1713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Referencia bibliográfica del texto</w:t>
      </w:r>
    </w:p>
    <w:p w14:paraId="00000008" w14:textId="77777777" w:rsidR="002B0B2F" w:rsidRDefault="002B0B2F">
      <w:pPr>
        <w:spacing w:line="276" w:lineRule="auto"/>
        <w:jc w:val="both"/>
        <w:rPr>
          <w:rFonts w:ascii="Times New Roman" w:eastAsia="Times New Roman" w:hAnsi="Times New Roman" w:cs="Times New Roman"/>
          <w:b/>
          <w:sz w:val="24"/>
          <w:szCs w:val="24"/>
        </w:rPr>
      </w:pPr>
    </w:p>
    <w:p w14:paraId="00000009" w14:textId="77777777" w:rsidR="002B0B2F" w:rsidRDefault="00E171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Canales, Manuel (ed.) (2006). </w:t>
      </w:r>
      <w:r>
        <w:rPr>
          <w:rFonts w:ascii="Times New Roman" w:eastAsia="Times New Roman" w:hAnsi="Times New Roman" w:cs="Times New Roman"/>
          <w:i/>
          <w:sz w:val="24"/>
          <w:szCs w:val="24"/>
        </w:rPr>
        <w:t>Metodologías de investigación social. Introducción a los oficios.</w:t>
      </w:r>
      <w:r>
        <w:rPr>
          <w:rFonts w:ascii="Times New Roman" w:eastAsia="Times New Roman" w:hAnsi="Times New Roman" w:cs="Times New Roman"/>
          <w:sz w:val="24"/>
          <w:szCs w:val="24"/>
        </w:rPr>
        <w:t xml:space="preserve"> Capítulo Presentación (pp. 11-30) Santiago de Chile: LOM.</w:t>
      </w:r>
    </w:p>
    <w:p w14:paraId="0000000A" w14:textId="77777777" w:rsidR="002B0B2F" w:rsidRDefault="002B0B2F">
      <w:pPr>
        <w:spacing w:line="276" w:lineRule="auto"/>
        <w:jc w:val="both"/>
        <w:rPr>
          <w:rFonts w:ascii="Times New Roman" w:eastAsia="Times New Roman" w:hAnsi="Times New Roman" w:cs="Times New Roman"/>
          <w:b/>
          <w:sz w:val="24"/>
          <w:szCs w:val="24"/>
        </w:rPr>
      </w:pPr>
    </w:p>
    <w:p w14:paraId="0000000B" w14:textId="77777777" w:rsidR="002B0B2F" w:rsidRDefault="00E1713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Palabras claves </w:t>
      </w:r>
    </w:p>
    <w:p w14:paraId="0000000C" w14:textId="77777777" w:rsidR="002B0B2F" w:rsidRDefault="00E171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Tipos de investigación, subjetividad, </w:t>
      </w:r>
      <w:r>
        <w:rPr>
          <w:rFonts w:ascii="Times New Roman" w:eastAsia="Times New Roman" w:hAnsi="Times New Roman" w:cs="Times New Roman"/>
          <w:i/>
          <w:sz w:val="24"/>
          <w:szCs w:val="24"/>
        </w:rPr>
        <w:t>lo social</w:t>
      </w:r>
      <w:r>
        <w:rPr>
          <w:rFonts w:ascii="Times New Roman" w:eastAsia="Times New Roman" w:hAnsi="Times New Roman" w:cs="Times New Roman"/>
          <w:sz w:val="24"/>
          <w:szCs w:val="24"/>
        </w:rPr>
        <w:t>, diseño de investigación, metodología</w:t>
      </w:r>
    </w:p>
    <w:p w14:paraId="0000000D" w14:textId="77777777" w:rsidR="002B0B2F" w:rsidRDefault="002B0B2F">
      <w:pPr>
        <w:spacing w:line="276" w:lineRule="auto"/>
        <w:jc w:val="both"/>
        <w:rPr>
          <w:rFonts w:ascii="Times New Roman" w:eastAsia="Times New Roman" w:hAnsi="Times New Roman" w:cs="Times New Roman"/>
          <w:sz w:val="24"/>
          <w:szCs w:val="24"/>
        </w:rPr>
      </w:pPr>
    </w:p>
    <w:p w14:paraId="0000000E" w14:textId="77777777" w:rsidR="002B0B2F" w:rsidRDefault="00E1713E">
      <w:pPr>
        <w:spacing w:line="276" w:lineRule="auto"/>
        <w:jc w:val="both"/>
        <w:rPr>
          <w:rFonts w:ascii="Times New Roman" w:eastAsia="Times New Roman" w:hAnsi="Times New Roman" w:cs="Times New Roman"/>
          <w:b/>
          <w:sz w:val="24"/>
          <w:szCs w:val="24"/>
        </w:rPr>
      </w:pPr>
      <w:bookmarkStart w:id="1" w:name="_gjdgxs" w:colFirst="0" w:colLast="0"/>
      <w:bookmarkEnd w:id="1"/>
      <w:r>
        <w:rPr>
          <w:rFonts w:ascii="Times New Roman" w:eastAsia="Times New Roman" w:hAnsi="Times New Roman" w:cs="Times New Roman"/>
          <w:b/>
          <w:sz w:val="24"/>
          <w:szCs w:val="24"/>
        </w:rPr>
        <w:t xml:space="preserve">Síntesis del texto </w:t>
      </w:r>
    </w:p>
    <w:p w14:paraId="0000000F" w14:textId="77777777" w:rsidR="002B0B2F" w:rsidRDefault="002B0B2F">
      <w:pPr>
        <w:spacing w:line="276" w:lineRule="auto"/>
        <w:jc w:val="both"/>
        <w:rPr>
          <w:rFonts w:ascii="Times New Roman" w:eastAsia="Times New Roman" w:hAnsi="Times New Roman" w:cs="Times New Roman"/>
          <w:b/>
          <w:sz w:val="24"/>
          <w:szCs w:val="24"/>
        </w:rPr>
      </w:pPr>
    </w:p>
    <w:p w14:paraId="00000010" w14:textId="77777777" w:rsidR="002B0B2F" w:rsidRDefault="00E171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cie</w:t>
      </w:r>
      <w:r>
        <w:rPr>
          <w:rFonts w:ascii="Times New Roman" w:eastAsia="Times New Roman" w:hAnsi="Times New Roman" w:cs="Times New Roman"/>
          <w:sz w:val="24"/>
          <w:szCs w:val="24"/>
        </w:rPr>
        <w:t xml:space="preserve">ncias sociales, para la producción y análisis de datos se debe contar con ciertas técnicas, condiciones y distinciones básicas mínimas, debido a la pluralidad metodológica existente dentro del área. Canales (2006) menciona tres enfoques utilizados por las </w:t>
      </w:r>
      <w:r>
        <w:rPr>
          <w:rFonts w:ascii="Times New Roman" w:eastAsia="Times New Roman" w:hAnsi="Times New Roman" w:cs="Times New Roman"/>
          <w:sz w:val="24"/>
          <w:szCs w:val="24"/>
        </w:rPr>
        <w:t>humanidades para la construcción de diseños de investigación en función de la identificación del sujeto, del propósito y objetivo investigativo: el enfoque cuantitativo, el cualitativo y el dialéctico o reflexivo. Cada uno de estos tipos de investigación t</w:t>
      </w:r>
      <w:r>
        <w:rPr>
          <w:rFonts w:ascii="Times New Roman" w:eastAsia="Times New Roman" w:hAnsi="Times New Roman" w:cs="Times New Roman"/>
          <w:sz w:val="24"/>
          <w:szCs w:val="24"/>
        </w:rPr>
        <w:t>iene una metodología única que permite el estudio del mismo fenómeno —</w:t>
      </w:r>
      <w:r>
        <w:rPr>
          <w:rFonts w:ascii="Times New Roman" w:eastAsia="Times New Roman" w:hAnsi="Times New Roman" w:cs="Times New Roman"/>
          <w:i/>
          <w:sz w:val="24"/>
          <w:szCs w:val="24"/>
        </w:rPr>
        <w:t>lo social—,</w:t>
      </w:r>
      <w:r>
        <w:rPr>
          <w:rFonts w:ascii="Times New Roman" w:eastAsia="Times New Roman" w:hAnsi="Times New Roman" w:cs="Times New Roman"/>
          <w:sz w:val="24"/>
          <w:szCs w:val="24"/>
        </w:rPr>
        <w:t xml:space="preserve"> desde diferentes perspectivas. En consecuencia, cabe señalar que dicha construcción del diseño de investigación —su plan de acción, métrica, herramientas y método— también es</w:t>
      </w:r>
      <w:r>
        <w:rPr>
          <w:rFonts w:ascii="Times New Roman" w:eastAsia="Times New Roman" w:hAnsi="Times New Roman" w:cs="Times New Roman"/>
          <w:sz w:val="24"/>
          <w:szCs w:val="24"/>
        </w:rPr>
        <w:t>tará determinado por la propia perspectiva del investigador social, quien —desde su subjetividad— demarcará los alcances y límites de su proceso investigativo.</w:t>
      </w:r>
    </w:p>
    <w:p w14:paraId="00000011" w14:textId="77777777" w:rsidR="002B0B2F" w:rsidRDefault="002B0B2F">
      <w:pPr>
        <w:spacing w:line="276" w:lineRule="auto"/>
        <w:jc w:val="both"/>
        <w:rPr>
          <w:rFonts w:ascii="Times New Roman" w:eastAsia="Times New Roman" w:hAnsi="Times New Roman" w:cs="Times New Roman"/>
          <w:sz w:val="24"/>
          <w:szCs w:val="24"/>
        </w:rPr>
      </w:pPr>
    </w:p>
    <w:p w14:paraId="00000012" w14:textId="77777777" w:rsidR="002B0B2F" w:rsidRDefault="00E1713E">
      <w:pPr>
        <w:widowControl/>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base a lo anterior, cabe señalar que el enfoque cuantitativo —</w:t>
      </w:r>
      <w:r>
        <w:rPr>
          <w:rFonts w:ascii="Times New Roman" w:eastAsia="Times New Roman" w:hAnsi="Times New Roman" w:cs="Times New Roman"/>
          <w:i/>
          <w:sz w:val="24"/>
          <w:szCs w:val="24"/>
        </w:rPr>
        <w:t xml:space="preserve">muestra—, </w:t>
      </w:r>
      <w:r>
        <w:rPr>
          <w:rFonts w:ascii="Times New Roman" w:eastAsia="Times New Roman" w:hAnsi="Times New Roman" w:cs="Times New Roman"/>
          <w:sz w:val="24"/>
          <w:szCs w:val="24"/>
        </w:rPr>
        <w:t>opera en relación a datos numéricos que permiten dilucidar la abstracción de la transformación dinámica del sujeto de estudio, por medio de la confiabilidad y validez de los instrum</w:t>
      </w:r>
      <w:r>
        <w:rPr>
          <w:rFonts w:ascii="Times New Roman" w:eastAsia="Times New Roman" w:hAnsi="Times New Roman" w:cs="Times New Roman"/>
          <w:sz w:val="24"/>
          <w:szCs w:val="24"/>
        </w:rPr>
        <w:t>entos de medición ocupados, tales como la muestra, la escala y la encuesta. Mientras que, el enfoque cualitativo —</w:t>
      </w:r>
      <w:r>
        <w:rPr>
          <w:rFonts w:ascii="Times New Roman" w:eastAsia="Times New Roman" w:hAnsi="Times New Roman" w:cs="Times New Roman"/>
          <w:i/>
          <w:sz w:val="24"/>
          <w:szCs w:val="24"/>
        </w:rPr>
        <w:t xml:space="preserve">instrumento de observación—, </w:t>
      </w:r>
      <w:r>
        <w:rPr>
          <w:rFonts w:ascii="Times New Roman" w:eastAsia="Times New Roman" w:hAnsi="Times New Roman" w:cs="Times New Roman"/>
          <w:sz w:val="24"/>
          <w:szCs w:val="24"/>
        </w:rPr>
        <w:t>se articula en función de técnicas de involucración directas con el grupo social estudiado —entiéndase como entre</w:t>
      </w:r>
      <w:r>
        <w:rPr>
          <w:rFonts w:ascii="Times New Roman" w:eastAsia="Times New Roman" w:hAnsi="Times New Roman" w:cs="Times New Roman"/>
          <w:sz w:val="24"/>
          <w:szCs w:val="24"/>
        </w:rPr>
        <w:t xml:space="preserve">vistas, grupos focales, cuestionarios, relatos autobiográficos, entre otros— integrando en su metodología la abstracción y concreción por medio de la subjetividad, teniendo por objetivo </w:t>
      </w:r>
      <w:r>
        <w:rPr>
          <w:rFonts w:ascii="Times New Roman" w:eastAsia="Times New Roman" w:hAnsi="Times New Roman" w:cs="Times New Roman"/>
          <w:i/>
          <w:sz w:val="24"/>
          <w:szCs w:val="24"/>
        </w:rPr>
        <w:t>decodificar</w:t>
      </w:r>
      <w:r>
        <w:rPr>
          <w:rFonts w:ascii="Times New Roman" w:eastAsia="Times New Roman" w:hAnsi="Times New Roman" w:cs="Times New Roman"/>
          <w:sz w:val="24"/>
          <w:szCs w:val="24"/>
        </w:rPr>
        <w:t xml:space="preserve"> la información recogida para encontrar la perspectiva del </w:t>
      </w:r>
      <w:r>
        <w:rPr>
          <w:rFonts w:ascii="Times New Roman" w:eastAsia="Times New Roman" w:hAnsi="Times New Roman" w:cs="Times New Roman"/>
          <w:sz w:val="24"/>
          <w:szCs w:val="24"/>
        </w:rPr>
        <w:t>sujeto en cuestión. Finalmente, el enfoque dialéctico o reflexivo —</w:t>
      </w:r>
      <w:r>
        <w:rPr>
          <w:rFonts w:ascii="Times New Roman" w:eastAsia="Times New Roman" w:hAnsi="Times New Roman" w:cs="Times New Roman"/>
          <w:i/>
          <w:sz w:val="24"/>
          <w:szCs w:val="24"/>
        </w:rPr>
        <w:t xml:space="preserve">análisis—, </w:t>
      </w:r>
      <w:r>
        <w:rPr>
          <w:rFonts w:ascii="Times New Roman" w:eastAsia="Times New Roman" w:hAnsi="Times New Roman" w:cs="Times New Roman"/>
          <w:sz w:val="24"/>
          <w:szCs w:val="24"/>
        </w:rPr>
        <w:t xml:space="preserve">consta del estudio en concreto de los sujetos y actores que intervienen en las relaciones sociales quienes se conciben como observadores reflexivos mediados por la participación </w:t>
      </w:r>
      <w:r>
        <w:rPr>
          <w:rFonts w:ascii="Times New Roman" w:eastAsia="Times New Roman" w:hAnsi="Times New Roman" w:cs="Times New Roman"/>
          <w:sz w:val="24"/>
          <w:szCs w:val="24"/>
        </w:rPr>
        <w:t>activa del mismo investigador, quien “sistematiza o analiza sus prácticas para generar nuevas” (Canales, 2006, p. 22).</w:t>
      </w:r>
    </w:p>
    <w:p w14:paraId="00000013" w14:textId="77777777" w:rsidR="002B0B2F" w:rsidRDefault="002B0B2F">
      <w:pPr>
        <w:widowControl/>
        <w:spacing w:line="276" w:lineRule="auto"/>
        <w:jc w:val="both"/>
        <w:rPr>
          <w:rFonts w:ascii="Times New Roman" w:eastAsia="Times New Roman" w:hAnsi="Times New Roman" w:cs="Times New Roman"/>
          <w:sz w:val="24"/>
          <w:szCs w:val="24"/>
        </w:rPr>
      </w:pPr>
    </w:p>
    <w:p w14:paraId="00000014" w14:textId="77777777" w:rsidR="002B0B2F" w:rsidRDefault="002B0B2F">
      <w:pPr>
        <w:spacing w:line="276" w:lineRule="auto"/>
        <w:jc w:val="both"/>
        <w:rPr>
          <w:rFonts w:ascii="Times New Roman" w:eastAsia="Times New Roman" w:hAnsi="Times New Roman" w:cs="Times New Roman"/>
          <w:sz w:val="24"/>
          <w:szCs w:val="24"/>
        </w:rPr>
      </w:pPr>
    </w:p>
    <w:p w14:paraId="00000015" w14:textId="77777777" w:rsidR="002B0B2F" w:rsidRDefault="002B0B2F">
      <w:pPr>
        <w:spacing w:line="276" w:lineRule="auto"/>
        <w:jc w:val="both"/>
        <w:rPr>
          <w:rFonts w:ascii="Times New Roman" w:eastAsia="Times New Roman" w:hAnsi="Times New Roman" w:cs="Times New Roman"/>
          <w:sz w:val="24"/>
          <w:szCs w:val="24"/>
        </w:rPr>
      </w:pPr>
    </w:p>
    <w:p w14:paraId="00000016" w14:textId="77777777" w:rsidR="002B0B2F" w:rsidRDefault="00E1713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Comentario personal </w:t>
      </w:r>
    </w:p>
    <w:p w14:paraId="00000017" w14:textId="77777777" w:rsidR="002B0B2F" w:rsidRDefault="00E1713E">
      <w:pPr>
        <w:pBdr>
          <w:top w:val="nil"/>
          <w:left w:val="nil"/>
          <w:bottom w:val="nil"/>
          <w:right w:val="nil"/>
          <w:between w:val="nil"/>
        </w:pBdr>
        <w:spacing w:before="1" w:line="276" w:lineRule="auto"/>
        <w:ind w:right="124"/>
        <w:jc w:val="both"/>
        <w:rPr>
          <w:rFonts w:ascii="Times New Roman" w:eastAsia="Times New Roman" w:hAnsi="Times New Roman" w:cs="Times New Roman"/>
          <w:i/>
          <w:color w:val="000009"/>
          <w:sz w:val="24"/>
          <w:szCs w:val="24"/>
        </w:rPr>
      </w:pPr>
      <w:r>
        <w:rPr>
          <w:rFonts w:ascii="Times New Roman" w:eastAsia="Times New Roman" w:hAnsi="Times New Roman" w:cs="Times New Roman"/>
          <w:i/>
          <w:color w:val="000009"/>
          <w:sz w:val="24"/>
          <w:szCs w:val="24"/>
        </w:rPr>
        <w:t>¿Cuáles son las diferencias principales entre los tres métodos propuestos por el autor?</w:t>
      </w:r>
    </w:p>
    <w:p w14:paraId="00000018"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i/>
          <w:color w:val="000009"/>
          <w:sz w:val="24"/>
          <w:szCs w:val="24"/>
        </w:rPr>
      </w:pPr>
    </w:p>
    <w:p w14:paraId="00000019" w14:textId="77777777" w:rsidR="002B0B2F" w:rsidRDefault="00E1713E">
      <w:pPr>
        <w:widowControl/>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bookmarkStart w:id="2" w:name="_30j0zll" w:colFirst="0" w:colLast="0"/>
      <w:bookmarkEnd w:id="2"/>
      <w:r>
        <w:rPr>
          <w:rFonts w:ascii="Times New Roman" w:eastAsia="Times New Roman" w:hAnsi="Times New Roman" w:cs="Times New Roman"/>
          <w:color w:val="000000"/>
          <w:sz w:val="24"/>
          <w:szCs w:val="24"/>
        </w:rPr>
        <w:t>A partir de los tres métodos propuestos por el autor, podemos evidenciar que, por un lado, el pensamiento estadístico —entiéndase como la investigación cuantitativa— contribuye al estudio de la distribución de variables, mientras que, por otro, el pensamie</w:t>
      </w:r>
      <w:r>
        <w:rPr>
          <w:rFonts w:ascii="Times New Roman" w:eastAsia="Times New Roman" w:hAnsi="Times New Roman" w:cs="Times New Roman"/>
          <w:color w:val="000000"/>
          <w:sz w:val="24"/>
          <w:szCs w:val="24"/>
        </w:rPr>
        <w:t xml:space="preserve">nto discursivo focaliza su objetivo de estudio en las propias estructuras de significación reconocidas y validadas socialmente por medio de </w:t>
      </w:r>
      <w:r>
        <w:rPr>
          <w:rFonts w:ascii="Times New Roman" w:eastAsia="Times New Roman" w:hAnsi="Times New Roman" w:cs="Times New Roman"/>
          <w:i/>
          <w:color w:val="000000"/>
          <w:sz w:val="24"/>
          <w:szCs w:val="24"/>
        </w:rPr>
        <w:t>redes intersubjetivas,</w:t>
      </w:r>
      <w:r>
        <w:rPr>
          <w:rFonts w:ascii="Times New Roman" w:eastAsia="Times New Roman" w:hAnsi="Times New Roman" w:cs="Times New Roman"/>
          <w:color w:val="000000"/>
          <w:sz w:val="24"/>
          <w:szCs w:val="24"/>
        </w:rPr>
        <w:t xml:space="preserve"> mecanismos que buscará </w:t>
      </w:r>
      <w:r>
        <w:rPr>
          <w:rFonts w:ascii="Times New Roman" w:eastAsia="Times New Roman" w:hAnsi="Times New Roman" w:cs="Times New Roman"/>
          <w:i/>
          <w:color w:val="000000"/>
          <w:sz w:val="24"/>
          <w:szCs w:val="24"/>
        </w:rPr>
        <w:t xml:space="preserve">decodificar </w:t>
      </w:r>
      <w:r>
        <w:rPr>
          <w:rFonts w:ascii="Times New Roman" w:eastAsia="Times New Roman" w:hAnsi="Times New Roman" w:cs="Times New Roman"/>
          <w:color w:val="000000"/>
          <w:sz w:val="24"/>
          <w:szCs w:val="24"/>
        </w:rPr>
        <w:t>el estudio cualitativo. Sin embargo, existen ciertos fenóm</w:t>
      </w:r>
      <w:r>
        <w:rPr>
          <w:rFonts w:ascii="Times New Roman" w:eastAsia="Times New Roman" w:hAnsi="Times New Roman" w:cs="Times New Roman"/>
          <w:color w:val="000000"/>
          <w:sz w:val="24"/>
          <w:szCs w:val="24"/>
        </w:rPr>
        <w:t>enos que no son cuantificables a partir de esquemas de valores previamente concebidos, sino que sólo existirá una aproximación a ellos por medio del estudio activo, participativo y reflexivo de todos los actores involucrados en la investigación misma, conf</w:t>
      </w:r>
      <w:r>
        <w:rPr>
          <w:rFonts w:ascii="Times New Roman" w:eastAsia="Times New Roman" w:hAnsi="Times New Roman" w:cs="Times New Roman"/>
          <w:color w:val="000000"/>
          <w:sz w:val="24"/>
          <w:szCs w:val="24"/>
        </w:rPr>
        <w:t xml:space="preserve">ormando un diseño investigativo donde se contemple el cambio, la subjetividad, las contradicciones y las posibilidades vigentes </w:t>
      </w:r>
      <w:r>
        <w:rPr>
          <w:rFonts w:ascii="Times New Roman" w:eastAsia="Times New Roman" w:hAnsi="Times New Roman" w:cs="Times New Roman"/>
          <w:sz w:val="24"/>
          <w:szCs w:val="24"/>
        </w:rPr>
        <w:t>dentro de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lo social</w:t>
      </w:r>
      <w:r>
        <w:rPr>
          <w:rFonts w:ascii="Times New Roman" w:eastAsia="Times New Roman" w:hAnsi="Times New Roman" w:cs="Times New Roman"/>
          <w:color w:val="000000"/>
          <w:sz w:val="24"/>
          <w:szCs w:val="24"/>
        </w:rPr>
        <w:t>, pudiendo así entender al sujeto y su comportamiento. Además, cabe señalar que se deben considerar los datos</w:t>
      </w:r>
      <w:r>
        <w:rPr>
          <w:rFonts w:ascii="Times New Roman" w:eastAsia="Times New Roman" w:hAnsi="Times New Roman" w:cs="Times New Roman"/>
          <w:color w:val="000000"/>
          <w:sz w:val="24"/>
          <w:szCs w:val="24"/>
        </w:rPr>
        <w:t xml:space="preserve"> producidos y recogidos en función de los límites y enfoques propios de cada diseño investigativo (Canales, 2006).</w:t>
      </w:r>
    </w:p>
    <w:p w14:paraId="0000001A" w14:textId="77777777" w:rsidR="002B0B2F" w:rsidRDefault="00E1713E">
      <w:pPr>
        <w:pBdr>
          <w:top w:val="nil"/>
          <w:left w:val="nil"/>
          <w:bottom w:val="nil"/>
          <w:right w:val="nil"/>
          <w:between w:val="nil"/>
        </w:pBdr>
        <w:spacing w:before="1" w:line="276" w:lineRule="auto"/>
        <w:ind w:right="1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01B" w14:textId="77777777" w:rsidR="002B0B2F" w:rsidRDefault="002B0B2F">
      <w:pPr>
        <w:pBdr>
          <w:top w:val="nil"/>
          <w:left w:val="nil"/>
          <w:bottom w:val="nil"/>
          <w:right w:val="nil"/>
          <w:between w:val="nil"/>
        </w:pBdr>
        <w:spacing w:before="1" w:line="276" w:lineRule="auto"/>
        <w:ind w:right="124"/>
        <w:jc w:val="both"/>
        <w:rPr>
          <w:rFonts w:ascii="TT1610O00" w:eastAsia="TT1610O00" w:hAnsi="TT1610O00" w:cs="TT1610O00"/>
          <w:color w:val="000000"/>
          <w:sz w:val="20"/>
          <w:szCs w:val="20"/>
        </w:rPr>
      </w:pPr>
    </w:p>
    <w:p w14:paraId="0000001C"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9"/>
          <w:sz w:val="24"/>
          <w:szCs w:val="24"/>
        </w:rPr>
      </w:pPr>
    </w:p>
    <w:p w14:paraId="0000001D"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9"/>
          <w:sz w:val="24"/>
          <w:szCs w:val="24"/>
        </w:rPr>
      </w:pPr>
    </w:p>
    <w:p w14:paraId="0000001E"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9"/>
          <w:sz w:val="24"/>
          <w:szCs w:val="24"/>
        </w:rPr>
      </w:pPr>
    </w:p>
    <w:p w14:paraId="0000001F"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9"/>
          <w:sz w:val="24"/>
          <w:szCs w:val="24"/>
        </w:rPr>
      </w:pPr>
    </w:p>
    <w:p w14:paraId="00000020"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9"/>
          <w:sz w:val="24"/>
          <w:szCs w:val="24"/>
        </w:rPr>
      </w:pPr>
    </w:p>
    <w:p w14:paraId="00000021"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0"/>
          <w:sz w:val="24"/>
          <w:szCs w:val="24"/>
        </w:rPr>
      </w:pPr>
    </w:p>
    <w:p w14:paraId="00000022"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0"/>
          <w:sz w:val="24"/>
          <w:szCs w:val="24"/>
        </w:rPr>
      </w:pPr>
    </w:p>
    <w:p w14:paraId="00000023" w14:textId="77777777" w:rsidR="002B0B2F" w:rsidRDefault="002B0B2F">
      <w:pPr>
        <w:pBdr>
          <w:top w:val="nil"/>
          <w:left w:val="nil"/>
          <w:bottom w:val="nil"/>
          <w:right w:val="nil"/>
          <w:between w:val="nil"/>
        </w:pBdr>
        <w:spacing w:before="1" w:line="276" w:lineRule="auto"/>
        <w:ind w:right="124"/>
        <w:jc w:val="both"/>
        <w:rPr>
          <w:rFonts w:ascii="TT1610O00" w:eastAsia="TT1610O00" w:hAnsi="TT1610O00" w:cs="TT1610O00"/>
          <w:color w:val="000000"/>
          <w:sz w:val="20"/>
          <w:szCs w:val="20"/>
        </w:rPr>
      </w:pPr>
    </w:p>
    <w:p w14:paraId="00000024" w14:textId="77777777" w:rsidR="002B0B2F" w:rsidRDefault="002B0B2F">
      <w:pPr>
        <w:pBdr>
          <w:top w:val="nil"/>
          <w:left w:val="nil"/>
          <w:bottom w:val="nil"/>
          <w:right w:val="nil"/>
          <w:between w:val="nil"/>
        </w:pBdr>
        <w:spacing w:before="1" w:line="276" w:lineRule="auto"/>
        <w:ind w:right="124"/>
        <w:jc w:val="both"/>
        <w:rPr>
          <w:rFonts w:ascii="Times New Roman" w:eastAsia="Times New Roman" w:hAnsi="Times New Roman" w:cs="Times New Roman"/>
          <w:color w:val="000009"/>
          <w:sz w:val="24"/>
          <w:szCs w:val="24"/>
        </w:rPr>
      </w:pPr>
    </w:p>
    <w:p w14:paraId="00000025" w14:textId="77777777" w:rsidR="002B0B2F" w:rsidRDefault="002B0B2F">
      <w:pPr>
        <w:spacing w:line="276" w:lineRule="auto"/>
        <w:jc w:val="both"/>
        <w:rPr>
          <w:rFonts w:ascii="Times New Roman" w:eastAsia="Times New Roman" w:hAnsi="Times New Roman" w:cs="Times New Roman"/>
          <w:b/>
          <w:sz w:val="24"/>
          <w:szCs w:val="24"/>
        </w:rPr>
      </w:pPr>
    </w:p>
    <w:p w14:paraId="00000026" w14:textId="77777777" w:rsidR="002B0B2F" w:rsidRDefault="002B0B2F">
      <w:pPr>
        <w:pBdr>
          <w:top w:val="nil"/>
          <w:left w:val="nil"/>
          <w:bottom w:val="nil"/>
          <w:right w:val="nil"/>
          <w:between w:val="nil"/>
        </w:pBdr>
        <w:spacing w:before="1" w:line="276" w:lineRule="auto"/>
        <w:ind w:left="116" w:right="124"/>
        <w:jc w:val="both"/>
        <w:rPr>
          <w:rFonts w:ascii="Times New Roman" w:eastAsia="Times New Roman" w:hAnsi="Times New Roman" w:cs="Times New Roman"/>
          <w:color w:val="000000"/>
          <w:sz w:val="24"/>
          <w:szCs w:val="24"/>
        </w:rPr>
      </w:pPr>
    </w:p>
    <w:sectPr w:rsidR="002B0B2F">
      <w:pgSz w:w="12240" w:h="15840"/>
      <w:pgMar w:top="1380" w:right="1580" w:bottom="280" w:left="158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9:08:00Z" w:initials="CD">
    <w:p w14:paraId="782EFD9C" w14:textId="2E10CB06" w:rsidR="00E1713E" w:rsidRDefault="00E1713E">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2EFD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0A77" w16cex:dateUtc="2021-11-10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2EFD9C" w16cid:durableId="25360A7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T1610O00">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B2F"/>
    <w:rsid w:val="002B0B2F"/>
    <w:rsid w:val="00E1713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docId w15:val="{6B8A320F-47AD-42A6-BFC8-2DD9569A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C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116"/>
      <w:jc w:val="both"/>
    </w:pPr>
    <w:rPr>
      <w:b/>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decomentario">
    <w:name w:val="annotation reference"/>
    <w:basedOn w:val="Fuentedeprrafopredeter"/>
    <w:uiPriority w:val="99"/>
    <w:semiHidden/>
    <w:unhideWhenUsed/>
    <w:rsid w:val="00E1713E"/>
    <w:rPr>
      <w:sz w:val="16"/>
      <w:szCs w:val="16"/>
    </w:rPr>
  </w:style>
  <w:style w:type="paragraph" w:styleId="Textocomentario">
    <w:name w:val="annotation text"/>
    <w:basedOn w:val="Normal"/>
    <w:link w:val="TextocomentarioCar"/>
    <w:uiPriority w:val="99"/>
    <w:semiHidden/>
    <w:unhideWhenUsed/>
    <w:rsid w:val="00E1713E"/>
    <w:rPr>
      <w:sz w:val="20"/>
      <w:szCs w:val="20"/>
    </w:rPr>
  </w:style>
  <w:style w:type="character" w:customStyle="1" w:styleId="TextocomentarioCar">
    <w:name w:val="Texto comentario Car"/>
    <w:basedOn w:val="Fuentedeprrafopredeter"/>
    <w:link w:val="Textocomentario"/>
    <w:uiPriority w:val="99"/>
    <w:semiHidden/>
    <w:rsid w:val="00E1713E"/>
    <w:rPr>
      <w:sz w:val="20"/>
      <w:szCs w:val="20"/>
    </w:rPr>
  </w:style>
  <w:style w:type="paragraph" w:styleId="Asuntodelcomentario">
    <w:name w:val="annotation subject"/>
    <w:basedOn w:val="Textocomentario"/>
    <w:next w:val="Textocomentario"/>
    <w:link w:val="AsuntodelcomentarioCar"/>
    <w:uiPriority w:val="99"/>
    <w:semiHidden/>
    <w:unhideWhenUsed/>
    <w:rsid w:val="00E1713E"/>
    <w:rPr>
      <w:b/>
      <w:bCs/>
    </w:rPr>
  </w:style>
  <w:style w:type="character" w:customStyle="1" w:styleId="AsuntodelcomentarioCar">
    <w:name w:val="Asunto del comentario Car"/>
    <w:basedOn w:val="TextocomentarioCar"/>
    <w:link w:val="Asuntodelcomentario"/>
    <w:uiPriority w:val="99"/>
    <w:semiHidden/>
    <w:rsid w:val="00E171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586</Words>
  <Characters>3229</Characters>
  <Application>Microsoft Office Word</Application>
  <DocSecurity>0</DocSecurity>
  <Lines>26</Lines>
  <Paragraphs>7</Paragraphs>
  <ScaleCrop>false</ScaleCrop>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DUARTE</dc:creator>
  <cp:lastModifiedBy>CLAUDIO DUARTE</cp:lastModifiedBy>
  <cp:revision>2</cp:revision>
  <dcterms:created xsi:type="dcterms:W3CDTF">2021-11-10T12:09:00Z</dcterms:created>
  <dcterms:modified xsi:type="dcterms:W3CDTF">2021-11-10T12:09:00Z</dcterms:modified>
</cp:coreProperties>
</file>